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26" w:type="dxa"/>
        <w:tblInd w:w="-1134" w:type="dxa"/>
        <w:tblLook w:val="04A0" w:firstRow="1" w:lastRow="0" w:firstColumn="1" w:lastColumn="0" w:noHBand="0" w:noVBand="1"/>
      </w:tblPr>
      <w:tblGrid>
        <w:gridCol w:w="563"/>
        <w:gridCol w:w="1401"/>
        <w:gridCol w:w="1864"/>
        <w:gridCol w:w="2025"/>
        <w:gridCol w:w="3970"/>
        <w:gridCol w:w="1674"/>
        <w:gridCol w:w="1620"/>
        <w:gridCol w:w="2063"/>
      </w:tblGrid>
      <w:tr w:rsidR="00A00388" w:rsidRPr="00A00388" w:rsidTr="00A00388">
        <w:trPr>
          <w:trHeight w:val="375"/>
        </w:trPr>
        <w:tc>
          <w:tcPr>
            <w:tcW w:w="15026" w:type="dxa"/>
            <w:gridSpan w:val="8"/>
            <w:tcBorders>
              <w:top w:val="nil"/>
              <w:left w:val="nil"/>
              <w:bottom w:val="nil"/>
              <w:right w:val="nil"/>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Tổng hợp xử phạt vi phạm hành chính (từ ngày 09/10/2023 đến ngày 13/10/2023)</w:t>
            </w:r>
          </w:p>
        </w:tc>
      </w:tr>
      <w:tr w:rsidR="00A00388" w:rsidRPr="00A00388" w:rsidTr="00A00388">
        <w:trPr>
          <w:trHeight w:val="375"/>
        </w:trPr>
        <w:tc>
          <w:tcPr>
            <w:tcW w:w="563" w:type="dxa"/>
            <w:tcBorders>
              <w:top w:val="nil"/>
              <w:left w:val="nil"/>
              <w:bottom w:val="nil"/>
              <w:right w:val="nil"/>
            </w:tcBorders>
            <w:shd w:val="clear" w:color="auto" w:fill="auto"/>
            <w:noWrap/>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p>
        </w:tc>
        <w:tc>
          <w:tcPr>
            <w:tcW w:w="1401" w:type="dxa"/>
            <w:tcBorders>
              <w:top w:val="nil"/>
              <w:left w:val="nil"/>
              <w:bottom w:val="nil"/>
              <w:right w:val="nil"/>
            </w:tcBorders>
            <w:shd w:val="clear" w:color="auto" w:fill="auto"/>
            <w:noWrap/>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p>
        </w:tc>
        <w:tc>
          <w:tcPr>
            <w:tcW w:w="1864" w:type="dxa"/>
            <w:tcBorders>
              <w:top w:val="nil"/>
              <w:left w:val="nil"/>
              <w:bottom w:val="nil"/>
              <w:right w:val="nil"/>
            </w:tcBorders>
            <w:shd w:val="clear" w:color="auto" w:fill="auto"/>
            <w:noWrap/>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p>
        </w:tc>
        <w:tc>
          <w:tcPr>
            <w:tcW w:w="2025" w:type="dxa"/>
            <w:tcBorders>
              <w:top w:val="nil"/>
              <w:left w:val="nil"/>
              <w:bottom w:val="nil"/>
              <w:right w:val="nil"/>
            </w:tcBorders>
            <w:shd w:val="clear" w:color="auto" w:fill="auto"/>
            <w:noWrap/>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p>
        </w:tc>
        <w:tc>
          <w:tcPr>
            <w:tcW w:w="3970" w:type="dxa"/>
            <w:tcBorders>
              <w:top w:val="nil"/>
              <w:left w:val="nil"/>
              <w:bottom w:val="nil"/>
              <w:right w:val="nil"/>
            </w:tcBorders>
            <w:shd w:val="clear" w:color="auto" w:fill="auto"/>
            <w:noWrap/>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p>
        </w:tc>
        <w:tc>
          <w:tcPr>
            <w:tcW w:w="1674" w:type="dxa"/>
            <w:tcBorders>
              <w:top w:val="nil"/>
              <w:left w:val="nil"/>
              <w:bottom w:val="nil"/>
              <w:right w:val="nil"/>
            </w:tcBorders>
            <w:shd w:val="clear" w:color="auto" w:fill="auto"/>
            <w:noWrap/>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p>
        </w:tc>
        <w:tc>
          <w:tcPr>
            <w:tcW w:w="1909" w:type="dxa"/>
            <w:tcBorders>
              <w:top w:val="nil"/>
              <w:left w:val="nil"/>
              <w:bottom w:val="nil"/>
              <w:right w:val="nil"/>
            </w:tcBorders>
            <w:shd w:val="clear" w:color="auto" w:fill="auto"/>
            <w:noWrap/>
            <w:vAlign w:val="bottom"/>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p>
        </w:tc>
      </w:tr>
      <w:tr w:rsidR="00A00388" w:rsidRPr="00A00388" w:rsidTr="00A00388">
        <w:trPr>
          <w:trHeight w:val="66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TT</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sz w:val="24"/>
                <w:szCs w:val="24"/>
              </w:rPr>
            </w:pPr>
            <w:r w:rsidRPr="00A00388">
              <w:rPr>
                <w:rFonts w:ascii="Times New Roman" w:eastAsia="Times New Roman" w:hAnsi="Times New Roman" w:cs="Times New Roman"/>
                <w:b/>
                <w:bCs/>
                <w:sz w:val="24"/>
                <w:szCs w:val="24"/>
              </w:rPr>
              <w:t>Số, ngày ra Quyết định XPVPHC</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sz w:val="24"/>
                <w:szCs w:val="24"/>
              </w:rPr>
            </w:pPr>
            <w:r w:rsidRPr="00A00388">
              <w:rPr>
                <w:rFonts w:ascii="Times New Roman" w:eastAsia="Times New Roman" w:hAnsi="Times New Roman" w:cs="Times New Roman"/>
                <w:b/>
                <w:bCs/>
                <w:sz w:val="24"/>
                <w:szCs w:val="24"/>
              </w:rPr>
              <w:t>Tên đơn vị, cơ sở</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sz w:val="24"/>
                <w:szCs w:val="24"/>
              </w:rPr>
            </w:pPr>
            <w:r w:rsidRPr="00A00388">
              <w:rPr>
                <w:rFonts w:ascii="Times New Roman" w:eastAsia="Times New Roman" w:hAnsi="Times New Roman" w:cs="Times New Roman"/>
                <w:b/>
                <w:bCs/>
                <w:sz w:val="24"/>
                <w:szCs w:val="24"/>
              </w:rPr>
              <w:t xml:space="preserve">Địa chỉ </w:t>
            </w:r>
          </w:p>
        </w:tc>
        <w:tc>
          <w:tcPr>
            <w:tcW w:w="3970" w:type="dxa"/>
            <w:tcBorders>
              <w:top w:val="single" w:sz="4" w:space="0" w:color="auto"/>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sz w:val="24"/>
                <w:szCs w:val="24"/>
              </w:rPr>
            </w:pPr>
            <w:r w:rsidRPr="00A00388">
              <w:rPr>
                <w:rFonts w:ascii="Times New Roman" w:eastAsia="Times New Roman" w:hAnsi="Times New Roman" w:cs="Times New Roman"/>
                <w:b/>
                <w:bCs/>
                <w:sz w:val="24"/>
                <w:szCs w:val="24"/>
              </w:rPr>
              <w:t>Hành vi vi phạm</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Phạt tiền</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 xml:space="preserve">Hình phạt </w:t>
            </w:r>
            <w:r w:rsidRPr="00A00388">
              <w:rPr>
                <w:rFonts w:ascii="Times New Roman" w:eastAsia="Times New Roman" w:hAnsi="Times New Roman" w:cs="Times New Roman"/>
                <w:b/>
                <w:bCs/>
                <w:color w:val="000000"/>
                <w:sz w:val="24"/>
                <w:szCs w:val="24"/>
              </w:rPr>
              <w:br/>
              <w:t>bổ sung</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Biện pháp</w:t>
            </w:r>
            <w:r w:rsidRPr="00A00388">
              <w:rPr>
                <w:rFonts w:ascii="Times New Roman" w:eastAsia="Times New Roman" w:hAnsi="Times New Roman" w:cs="Times New Roman"/>
                <w:b/>
                <w:bCs/>
                <w:color w:val="000000"/>
                <w:sz w:val="24"/>
                <w:szCs w:val="24"/>
              </w:rPr>
              <w:br/>
              <w:t>khắc phục hậu quả</w:t>
            </w:r>
          </w:p>
        </w:tc>
      </w:tr>
      <w:tr w:rsidR="00A00388" w:rsidRPr="00A00388" w:rsidTr="00A00388">
        <w:trPr>
          <w:trHeight w:val="132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1</w:t>
            </w:r>
          </w:p>
        </w:tc>
        <w:tc>
          <w:tcPr>
            <w:tcW w:w="1401"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r w:rsidRPr="00A00388">
              <w:rPr>
                <w:rFonts w:ascii="Times New Roman" w:eastAsia="Times New Roman" w:hAnsi="Times New Roman" w:cs="Times New Roman"/>
                <w:sz w:val="24"/>
                <w:szCs w:val="24"/>
              </w:rPr>
              <w:t>510/QĐ-XPVPHC ngày 11/10/2023</w:t>
            </w:r>
          </w:p>
        </w:tc>
        <w:tc>
          <w:tcPr>
            <w:tcW w:w="1864"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Công ty cổ phần Y Dược Công nghệ cao Việt Nam</w:t>
            </w:r>
          </w:p>
        </w:tc>
        <w:tc>
          <w:tcPr>
            <w:tcW w:w="2025"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TDP 11, Thị trấn Quang Minh, huyện Mê Linh, thành phố Hà Nội</w:t>
            </w:r>
          </w:p>
        </w:tc>
        <w:tc>
          <w:tcPr>
            <w:tcW w:w="3970"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r w:rsidRPr="00A00388">
              <w:rPr>
                <w:rFonts w:ascii="Times New Roman" w:eastAsia="Times New Roman" w:hAnsi="Times New Roman" w:cs="Times New Roman"/>
                <w:sz w:val="24"/>
                <w:szCs w:val="24"/>
              </w:rPr>
              <w:t>Không báo cáo Sở Y tế Hà Nội trong trường hợp tạm dừng hoạt động từ 06 tháng trở lên hoặc chấm dứt hoạt động</w:t>
            </w:r>
          </w:p>
        </w:tc>
        <w:tc>
          <w:tcPr>
            <w:tcW w:w="1674"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4,000,000</w:t>
            </w:r>
          </w:p>
        </w:tc>
        <w:tc>
          <w:tcPr>
            <w:tcW w:w="1620"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Không</w:t>
            </w:r>
          </w:p>
        </w:tc>
        <w:tc>
          <w:tcPr>
            <w:tcW w:w="1909"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Không</w:t>
            </w:r>
          </w:p>
        </w:tc>
      </w:tr>
      <w:tr w:rsidR="00A00388" w:rsidRPr="00A00388" w:rsidTr="00A00388">
        <w:trPr>
          <w:trHeight w:val="297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2</w:t>
            </w:r>
          </w:p>
        </w:tc>
        <w:tc>
          <w:tcPr>
            <w:tcW w:w="1401"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r w:rsidRPr="00A00388">
              <w:rPr>
                <w:rFonts w:ascii="Times New Roman" w:eastAsia="Times New Roman" w:hAnsi="Times New Roman" w:cs="Times New Roman"/>
                <w:sz w:val="24"/>
                <w:szCs w:val="24"/>
              </w:rPr>
              <w:t>511/QĐ-XPVPHC</w:t>
            </w:r>
            <w:r w:rsidRPr="00A00388">
              <w:rPr>
                <w:rFonts w:ascii="Times New Roman" w:eastAsia="Times New Roman" w:hAnsi="Times New Roman" w:cs="Times New Roman"/>
                <w:sz w:val="24"/>
                <w:szCs w:val="24"/>
              </w:rPr>
              <w:br/>
              <w:t>Ngày 11/10/2023</w:t>
            </w:r>
          </w:p>
        </w:tc>
        <w:tc>
          <w:tcPr>
            <w:tcW w:w="1864"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Công ty cổ phần dược phẩm Khang Lâm</w:t>
            </w:r>
          </w:p>
        </w:tc>
        <w:tc>
          <w:tcPr>
            <w:tcW w:w="2025"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Số 11 Phố Nhà Thờ, Hàng Trống, Hoàn Kiếm, Hà Nội</w:t>
            </w:r>
            <w:r w:rsidRPr="00A00388">
              <w:rPr>
                <w:rFonts w:ascii="Times New Roman" w:eastAsia="Times New Roman" w:hAnsi="Times New Roman" w:cs="Times New Roman"/>
                <w:b/>
                <w:bCs/>
                <w:color w:val="000000"/>
                <w:sz w:val="24"/>
                <w:szCs w:val="24"/>
              </w:rPr>
              <w:t xml:space="preserve"> </w:t>
            </w:r>
          </w:p>
        </w:tc>
        <w:tc>
          <w:tcPr>
            <w:tcW w:w="3970"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r w:rsidRPr="00A00388">
              <w:rPr>
                <w:rFonts w:ascii="Times New Roman" w:eastAsia="Times New Roman" w:hAnsi="Times New Roman" w:cs="Times New Roman"/>
                <w:sz w:val="24"/>
                <w:szCs w:val="24"/>
              </w:rPr>
              <w:t xml:space="preserve">Quảng cáo 03 sản phẩm thực phẩm bảo vệ sức khỏe BOPLATE, thực phẩm bảo vệ sức khỏe Đại tràng PHARBACO, thực phẩm bảo vệ sức khỏe Tiền liệt tuyến PHARBACO trên website: klapharma.com.vn không đúng với Giấy xác nhận nội dung quảng cáo do Cục ATTP xác nhận. </w:t>
            </w:r>
          </w:p>
        </w:tc>
        <w:tc>
          <w:tcPr>
            <w:tcW w:w="1674"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25,000,000</w:t>
            </w:r>
          </w:p>
        </w:tc>
        <w:tc>
          <w:tcPr>
            <w:tcW w:w="1620"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Không</w:t>
            </w:r>
          </w:p>
        </w:tc>
        <w:tc>
          <w:tcPr>
            <w:tcW w:w="1909"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 xml:space="preserve">Buộc Công ty tháo gỡ, tháo dỡ, xóa quảng cáo không đúng của 03 sản phẩm TPBVSK: BOPLATE, Đại tràng PHARBACO, Tiền liệt tuyến PHARBACO trên website: klapharma.com.vn.   </w:t>
            </w:r>
          </w:p>
        </w:tc>
      </w:tr>
      <w:tr w:rsidR="00A00388" w:rsidRPr="00A00388" w:rsidTr="00A00388">
        <w:trPr>
          <w:trHeight w:val="264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3</w:t>
            </w:r>
          </w:p>
        </w:tc>
        <w:tc>
          <w:tcPr>
            <w:tcW w:w="1401"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r w:rsidRPr="00A00388">
              <w:rPr>
                <w:rFonts w:ascii="Times New Roman" w:eastAsia="Times New Roman" w:hAnsi="Times New Roman" w:cs="Times New Roman"/>
                <w:sz w:val="24"/>
                <w:szCs w:val="24"/>
              </w:rPr>
              <w:t>512/QĐ-XPVPHC</w:t>
            </w:r>
            <w:r w:rsidRPr="00A00388">
              <w:rPr>
                <w:rFonts w:ascii="Times New Roman" w:eastAsia="Times New Roman" w:hAnsi="Times New Roman" w:cs="Times New Roman"/>
                <w:sz w:val="24"/>
                <w:szCs w:val="24"/>
              </w:rPr>
              <w:br/>
              <w:t>Ngày 11/10/2023</w:t>
            </w:r>
          </w:p>
        </w:tc>
        <w:tc>
          <w:tcPr>
            <w:tcW w:w="1864"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Công ty TNHH Bình An Academy</w:t>
            </w:r>
          </w:p>
        </w:tc>
        <w:tc>
          <w:tcPr>
            <w:tcW w:w="2025"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Xóm 1, thôn Dư Xá, Hòa Nam, Ứng Hòa, Hà Nội.</w:t>
            </w:r>
          </w:p>
        </w:tc>
        <w:tc>
          <w:tcPr>
            <w:tcW w:w="3970"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r w:rsidRPr="00A00388">
              <w:rPr>
                <w:rFonts w:ascii="Times New Roman" w:eastAsia="Times New Roman" w:hAnsi="Times New Roman" w:cs="Times New Roman"/>
                <w:sz w:val="24"/>
                <w:szCs w:val="24"/>
              </w:rPr>
              <w:t>Quảng cáo 02 sản phẩm mỹ phẩm Meduskin Daily Hydro Drops và Meduskin Acne Solution website Meduskin.vn mà không được cơ quan nhà nước có thẩm quyền xác nhận nội dung trước khi thực hiện quảng cáo theo quy định.</w:t>
            </w:r>
          </w:p>
        </w:tc>
        <w:tc>
          <w:tcPr>
            <w:tcW w:w="1674"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45,000,000</w:t>
            </w:r>
          </w:p>
        </w:tc>
        <w:tc>
          <w:tcPr>
            <w:tcW w:w="1620"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Không</w:t>
            </w:r>
          </w:p>
        </w:tc>
        <w:tc>
          <w:tcPr>
            <w:tcW w:w="1909"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Buộc Công ty tháo gỡ, tháo dỡ, xóa toàn bộ nội dung quảng cáo đối với 02 sản phẩm: Meduskin Daily Hydro Drops và Meduskin Acne Solution trên website Meduskin.vn</w:t>
            </w:r>
          </w:p>
        </w:tc>
      </w:tr>
      <w:tr w:rsidR="00A00388" w:rsidRPr="00A00388" w:rsidTr="00A00388">
        <w:trPr>
          <w:trHeight w:val="132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4</w:t>
            </w:r>
          </w:p>
        </w:tc>
        <w:tc>
          <w:tcPr>
            <w:tcW w:w="1401"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r w:rsidRPr="00A00388">
              <w:rPr>
                <w:rFonts w:ascii="Times New Roman" w:eastAsia="Times New Roman" w:hAnsi="Times New Roman" w:cs="Times New Roman"/>
                <w:sz w:val="24"/>
                <w:szCs w:val="24"/>
              </w:rPr>
              <w:t>513/QĐ-XPVPHC ngày 11/10/2023</w:t>
            </w:r>
          </w:p>
        </w:tc>
        <w:tc>
          <w:tcPr>
            <w:tcW w:w="1864"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Hộ Kinh doanh Quầy Thuốc Tú Quỳnh</w:t>
            </w:r>
          </w:p>
        </w:tc>
        <w:tc>
          <w:tcPr>
            <w:tcW w:w="2025"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Thôn Trung, xã Cao Viên, huyện Thanh Oai, thành phố Hà Nội</w:t>
            </w:r>
          </w:p>
        </w:tc>
        <w:tc>
          <w:tcPr>
            <w:tcW w:w="3970"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r w:rsidRPr="00A00388">
              <w:rPr>
                <w:rFonts w:ascii="Times New Roman" w:eastAsia="Times New Roman" w:hAnsi="Times New Roman" w:cs="Times New Roman"/>
                <w:sz w:val="24"/>
                <w:szCs w:val="24"/>
              </w:rPr>
              <w:t>Không tuân thủ các quy định về thực hành tốt cơ sở bán lẻ thuốc</w:t>
            </w:r>
          </w:p>
        </w:tc>
        <w:tc>
          <w:tcPr>
            <w:tcW w:w="1674"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7,500,000</w:t>
            </w:r>
          </w:p>
        </w:tc>
        <w:tc>
          <w:tcPr>
            <w:tcW w:w="1620"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Không</w:t>
            </w:r>
          </w:p>
        </w:tc>
        <w:tc>
          <w:tcPr>
            <w:tcW w:w="1909"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Không</w:t>
            </w:r>
          </w:p>
        </w:tc>
      </w:tr>
      <w:tr w:rsidR="00A00388" w:rsidRPr="00A00388" w:rsidTr="00A00388">
        <w:trPr>
          <w:trHeight w:val="165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bookmarkStart w:id="0" w:name="_GoBack"/>
            <w:r w:rsidRPr="00A00388">
              <w:rPr>
                <w:rFonts w:ascii="Times New Roman" w:eastAsia="Times New Roman" w:hAnsi="Times New Roman" w:cs="Times New Roman"/>
                <w:b/>
                <w:bCs/>
                <w:color w:val="000000"/>
                <w:sz w:val="24"/>
                <w:szCs w:val="24"/>
              </w:rPr>
              <w:lastRenderedPageBreak/>
              <w:t>5</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r w:rsidRPr="00A00388">
              <w:rPr>
                <w:rFonts w:ascii="Times New Roman" w:eastAsia="Times New Roman" w:hAnsi="Times New Roman" w:cs="Times New Roman"/>
                <w:sz w:val="24"/>
                <w:szCs w:val="24"/>
              </w:rPr>
              <w:t>514/QĐ-XPVPHC ngày 11/10/2023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Hộ kinh doanh Nhà thuốc Tâm Đức Pharmacy</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Nhà D30 ngách 17, ngõ 26 phố Nguyên Hồng, phường Láng Hạ, quận Đống Đa, thành phố Hà Nội.</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r w:rsidRPr="00A00388">
              <w:rPr>
                <w:rFonts w:ascii="Times New Roman" w:eastAsia="Times New Roman" w:hAnsi="Times New Roman" w:cs="Times New Roman"/>
                <w:sz w:val="24"/>
                <w:szCs w:val="24"/>
              </w:rPr>
              <w:t>Không nộp hồ sơ đề nghị đánh giá định kỳ việc duy trì đáp ứng thực hành tốt cơ sở bán lẻ thuốc theo quy định của pháp luật</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7,500,000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Không</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Không</w:t>
            </w:r>
          </w:p>
        </w:tc>
      </w:tr>
      <w:bookmarkEnd w:id="0"/>
      <w:tr w:rsidR="00A00388" w:rsidRPr="00A00388" w:rsidTr="00A00388">
        <w:trPr>
          <w:trHeight w:val="210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6</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r w:rsidRPr="00A00388">
              <w:rPr>
                <w:rFonts w:ascii="Times New Roman" w:eastAsia="Times New Roman" w:hAnsi="Times New Roman" w:cs="Times New Roman"/>
                <w:sz w:val="24"/>
                <w:szCs w:val="24"/>
              </w:rPr>
              <w:t>515/QĐ-XPVPHC ngày 12/10/2023</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Hộ kinh doanh Phòng khám Kazuo</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Số nhà 200, ngõ 264 Gia Quất, phường Ngọc Thụy, quận Long Biên, thành phố Hà Nội</w:t>
            </w:r>
          </w:p>
        </w:tc>
        <w:tc>
          <w:tcPr>
            <w:tcW w:w="3970" w:type="dxa"/>
            <w:tcBorders>
              <w:top w:val="single" w:sz="4" w:space="0" w:color="auto"/>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r w:rsidRPr="00A00388">
              <w:rPr>
                <w:rFonts w:ascii="Times New Roman" w:eastAsia="Times New Roman" w:hAnsi="Times New Roman" w:cs="Times New Roman"/>
                <w:sz w:val="24"/>
                <w:szCs w:val="24"/>
              </w:rPr>
              <w:t>Quảng cáo dịch vụ đặc biệt mà không được cơ quan Nhà nước có thẩm quyền xác nhận nội dung trước khi thực hiện quảng cáo theo quy định</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22,500,000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Không</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Buộc tháo gỡ, xóa bỏ nội dung quảng cáo trên Internet</w:t>
            </w:r>
          </w:p>
        </w:tc>
      </w:tr>
      <w:tr w:rsidR="00A00388" w:rsidRPr="00A00388" w:rsidTr="00A00388">
        <w:trPr>
          <w:trHeight w:val="198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7</w:t>
            </w:r>
          </w:p>
        </w:tc>
        <w:tc>
          <w:tcPr>
            <w:tcW w:w="1401"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r w:rsidRPr="00A00388">
              <w:rPr>
                <w:rFonts w:ascii="Times New Roman" w:eastAsia="Times New Roman" w:hAnsi="Times New Roman" w:cs="Times New Roman"/>
                <w:sz w:val="24"/>
                <w:szCs w:val="24"/>
              </w:rPr>
              <w:t>516/QĐ-XPVPHC ngày 12/10/2023</w:t>
            </w:r>
          </w:p>
        </w:tc>
        <w:tc>
          <w:tcPr>
            <w:tcW w:w="1864"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 xml:space="preserve">Phòng khám đa khoa Y Tâm trực thuộc Công ty cổ phần Y tế Y Tâm </w:t>
            </w:r>
          </w:p>
        </w:tc>
        <w:tc>
          <w:tcPr>
            <w:tcW w:w="2025"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 xml:space="preserve">Ô số 1 + 2, BT1, Khu đô thị mới Văn Phú, phường Phú La, quận Hà Đông, thành phố Hà Nội </w:t>
            </w:r>
          </w:p>
        </w:tc>
        <w:tc>
          <w:tcPr>
            <w:tcW w:w="3970"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r w:rsidRPr="00A00388">
              <w:rPr>
                <w:rFonts w:ascii="Times New Roman" w:eastAsia="Times New Roman" w:hAnsi="Times New Roman" w:cs="Times New Roman"/>
                <w:sz w:val="24"/>
                <w:szCs w:val="24"/>
              </w:rPr>
              <w:t>Cung cấp dịch vụ khám bệnh, chữa bệnh đang trong thời gian bị đình chỉ hoạt động</w:t>
            </w:r>
          </w:p>
        </w:tc>
        <w:tc>
          <w:tcPr>
            <w:tcW w:w="1674"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90,000,000</w:t>
            </w:r>
          </w:p>
        </w:tc>
        <w:tc>
          <w:tcPr>
            <w:tcW w:w="1620"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Đình chỉ hoạt động cơ sở 18 tháng</w:t>
            </w:r>
          </w:p>
        </w:tc>
        <w:tc>
          <w:tcPr>
            <w:tcW w:w="1909"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Không</w:t>
            </w:r>
          </w:p>
        </w:tc>
      </w:tr>
      <w:tr w:rsidR="00A00388" w:rsidRPr="00A00388" w:rsidTr="00A00388">
        <w:trPr>
          <w:trHeight w:val="132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8</w:t>
            </w:r>
          </w:p>
        </w:tc>
        <w:tc>
          <w:tcPr>
            <w:tcW w:w="1401"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r w:rsidRPr="00A00388">
              <w:rPr>
                <w:rFonts w:ascii="Times New Roman" w:eastAsia="Times New Roman" w:hAnsi="Times New Roman" w:cs="Times New Roman"/>
                <w:sz w:val="24"/>
                <w:szCs w:val="24"/>
              </w:rPr>
              <w:t>517/QĐ-XPVPHC ngày 12/10/2023</w:t>
            </w:r>
          </w:p>
        </w:tc>
        <w:tc>
          <w:tcPr>
            <w:tcW w:w="1864"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Công ty cổ phần Nha khoa công nghệ cao AIDENT</w:t>
            </w:r>
          </w:p>
        </w:tc>
        <w:tc>
          <w:tcPr>
            <w:tcW w:w="2025"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Số 20 Liễu Giai, phường Cống Vị, quận Ba Đình, thành phố Hà Nội</w:t>
            </w:r>
          </w:p>
        </w:tc>
        <w:tc>
          <w:tcPr>
            <w:tcW w:w="3970"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r w:rsidRPr="00A00388">
              <w:rPr>
                <w:rFonts w:ascii="Times New Roman" w:eastAsia="Times New Roman" w:hAnsi="Times New Roman" w:cs="Times New Roman"/>
                <w:sz w:val="24"/>
                <w:szCs w:val="24"/>
              </w:rPr>
              <w:t>Quảng cáo dịch vụ đặc biệt mà không được cơ quan Nhà nước có thẩm quyền xác nhận nội dung trước khi thực hiện quảng cáo theo quy định</w:t>
            </w:r>
          </w:p>
        </w:tc>
        <w:tc>
          <w:tcPr>
            <w:tcW w:w="1674"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45,000,000</w:t>
            </w:r>
          </w:p>
        </w:tc>
        <w:tc>
          <w:tcPr>
            <w:tcW w:w="1620"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Không</w:t>
            </w:r>
          </w:p>
        </w:tc>
        <w:tc>
          <w:tcPr>
            <w:tcW w:w="1909"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Buộc tháo gỡ, xóa bỏ nội dung quảng cáo trên Internet</w:t>
            </w:r>
          </w:p>
        </w:tc>
      </w:tr>
      <w:tr w:rsidR="00A00388" w:rsidRPr="00A00388" w:rsidTr="00A00388">
        <w:trPr>
          <w:trHeight w:val="198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9</w:t>
            </w:r>
          </w:p>
        </w:tc>
        <w:tc>
          <w:tcPr>
            <w:tcW w:w="1401"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r w:rsidRPr="00A00388">
              <w:rPr>
                <w:rFonts w:ascii="Times New Roman" w:eastAsia="Times New Roman" w:hAnsi="Times New Roman" w:cs="Times New Roman"/>
                <w:sz w:val="24"/>
                <w:szCs w:val="24"/>
              </w:rPr>
              <w:t>518/QĐ-XPVPHC ngày 12/10/2023</w:t>
            </w:r>
          </w:p>
        </w:tc>
        <w:tc>
          <w:tcPr>
            <w:tcW w:w="1864"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Phòng khám chuyên khoa Răng hàm mặt trực thuộc Công ty cổ phần công nghệ và dịch vụ Y tế VSMED</w:t>
            </w:r>
          </w:p>
        </w:tc>
        <w:tc>
          <w:tcPr>
            <w:tcW w:w="2025"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 xml:space="preserve"> Số 343 Tây Sơn, phường Ngã Tư Sở, quận Đống Đa, thành phố Hà Nội</w:t>
            </w:r>
          </w:p>
        </w:tc>
        <w:tc>
          <w:tcPr>
            <w:tcW w:w="3970"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sz w:val="24"/>
                <w:szCs w:val="24"/>
              </w:rPr>
            </w:pPr>
            <w:r w:rsidRPr="00A00388">
              <w:rPr>
                <w:rFonts w:ascii="Times New Roman" w:eastAsia="Times New Roman" w:hAnsi="Times New Roman" w:cs="Times New Roman"/>
                <w:sz w:val="24"/>
                <w:szCs w:val="24"/>
              </w:rPr>
              <w:t>Không đảm bảo một trong các điều kiện sau khi đã được cấp giấy phép hoạt động khám bệnh, chữa bệnh đối với cơ sở khám bệnh, chữa bệnh.</w:t>
            </w:r>
          </w:p>
        </w:tc>
        <w:tc>
          <w:tcPr>
            <w:tcW w:w="1674"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8,000,000</w:t>
            </w:r>
          </w:p>
        </w:tc>
        <w:tc>
          <w:tcPr>
            <w:tcW w:w="1620"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Tước quyền sử dụng giấy phép: 03 tháng. Đình chỉ hoạt động của cơ sở trong thời gian tước quyền sử dụng giấy phép</w:t>
            </w:r>
          </w:p>
        </w:tc>
        <w:tc>
          <w:tcPr>
            <w:tcW w:w="1909"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color w:val="000000"/>
                <w:sz w:val="24"/>
                <w:szCs w:val="24"/>
              </w:rPr>
            </w:pPr>
            <w:r w:rsidRPr="00A00388">
              <w:rPr>
                <w:rFonts w:ascii="Times New Roman" w:eastAsia="Times New Roman" w:hAnsi="Times New Roman" w:cs="Times New Roman"/>
                <w:color w:val="000000"/>
                <w:sz w:val="24"/>
                <w:szCs w:val="24"/>
              </w:rPr>
              <w:t>Không</w:t>
            </w:r>
          </w:p>
        </w:tc>
      </w:tr>
      <w:tr w:rsidR="00A00388" w:rsidRPr="00A00388" w:rsidTr="00A00388">
        <w:trPr>
          <w:trHeight w:val="375"/>
        </w:trPr>
        <w:tc>
          <w:tcPr>
            <w:tcW w:w="98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sz w:val="24"/>
                <w:szCs w:val="24"/>
              </w:rPr>
            </w:pPr>
            <w:r w:rsidRPr="00A00388">
              <w:rPr>
                <w:rFonts w:ascii="Times New Roman" w:eastAsia="Times New Roman" w:hAnsi="Times New Roman" w:cs="Times New Roman"/>
                <w:b/>
                <w:bCs/>
                <w:sz w:val="24"/>
                <w:szCs w:val="24"/>
              </w:rPr>
              <w:t>Tổng</w:t>
            </w:r>
          </w:p>
        </w:tc>
        <w:tc>
          <w:tcPr>
            <w:tcW w:w="1674" w:type="dxa"/>
            <w:tcBorders>
              <w:top w:val="nil"/>
              <w:left w:val="nil"/>
              <w:bottom w:val="single" w:sz="4" w:space="0" w:color="auto"/>
              <w:right w:val="single" w:sz="4" w:space="0" w:color="auto"/>
            </w:tcBorders>
            <w:shd w:val="clear" w:color="auto" w:fill="auto"/>
            <w:vAlign w:val="center"/>
            <w:hideMark/>
          </w:tcPr>
          <w:p w:rsidR="00A00388" w:rsidRPr="00A00388" w:rsidRDefault="00A00388" w:rsidP="00A00388">
            <w:pPr>
              <w:spacing w:after="0" w:line="240" w:lineRule="auto"/>
              <w:jc w:val="center"/>
              <w:rPr>
                <w:rFonts w:ascii="Times New Roman" w:eastAsia="Times New Roman" w:hAnsi="Times New Roman" w:cs="Times New Roman"/>
                <w:b/>
                <w:bCs/>
                <w:sz w:val="24"/>
                <w:szCs w:val="24"/>
              </w:rPr>
            </w:pPr>
            <w:r w:rsidRPr="00A00388">
              <w:rPr>
                <w:rFonts w:ascii="Times New Roman" w:eastAsia="Times New Roman" w:hAnsi="Times New Roman" w:cs="Times New Roman"/>
                <w:b/>
                <w:bCs/>
                <w:sz w:val="24"/>
                <w:szCs w:val="24"/>
              </w:rPr>
              <w:t>254,500,000</w:t>
            </w:r>
          </w:p>
        </w:tc>
        <w:tc>
          <w:tcPr>
            <w:tcW w:w="352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00388" w:rsidRPr="00A00388" w:rsidRDefault="00A00388" w:rsidP="00A00388">
            <w:pPr>
              <w:spacing w:after="0" w:line="240" w:lineRule="auto"/>
              <w:jc w:val="center"/>
              <w:rPr>
                <w:rFonts w:ascii="Times New Roman" w:eastAsia="Times New Roman" w:hAnsi="Times New Roman" w:cs="Times New Roman"/>
                <w:b/>
                <w:bCs/>
                <w:color w:val="000000"/>
                <w:sz w:val="24"/>
                <w:szCs w:val="24"/>
              </w:rPr>
            </w:pPr>
            <w:r w:rsidRPr="00A00388">
              <w:rPr>
                <w:rFonts w:ascii="Times New Roman" w:eastAsia="Times New Roman" w:hAnsi="Times New Roman" w:cs="Times New Roman"/>
                <w:b/>
                <w:bCs/>
                <w:color w:val="000000"/>
                <w:sz w:val="24"/>
                <w:szCs w:val="24"/>
              </w:rPr>
              <w:t> </w:t>
            </w:r>
          </w:p>
        </w:tc>
      </w:tr>
    </w:tbl>
    <w:p w:rsidR="009124CA" w:rsidRPr="00A00388" w:rsidRDefault="009124CA" w:rsidP="00A00388">
      <w:pPr>
        <w:rPr>
          <w:rFonts w:ascii="Times New Roman" w:hAnsi="Times New Roman" w:cs="Times New Roman"/>
          <w:sz w:val="24"/>
          <w:szCs w:val="24"/>
        </w:rPr>
      </w:pPr>
    </w:p>
    <w:sectPr w:rsidR="009124CA" w:rsidRPr="00A00388" w:rsidSect="00A00388">
      <w:pgSz w:w="15840" w:h="12240" w:orient="landscape"/>
      <w:pgMar w:top="284"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88"/>
    <w:rsid w:val="009124CA"/>
    <w:rsid w:val="00A00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764B1-6820-4604-9C00-09A320C6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96018">
      <w:bodyDiv w:val="1"/>
      <w:marLeft w:val="0"/>
      <w:marRight w:val="0"/>
      <w:marTop w:val="0"/>
      <w:marBottom w:val="0"/>
      <w:divBdr>
        <w:top w:val="none" w:sz="0" w:space="0" w:color="auto"/>
        <w:left w:val="none" w:sz="0" w:space="0" w:color="auto"/>
        <w:bottom w:val="none" w:sz="0" w:space="0" w:color="auto"/>
        <w:right w:val="none" w:sz="0" w:space="0" w:color="auto"/>
      </w:divBdr>
    </w:div>
    <w:div w:id="143269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2023-10-19T01:43:00Z</dcterms:created>
  <dcterms:modified xsi:type="dcterms:W3CDTF">2023-10-19T01:46:00Z</dcterms:modified>
</cp:coreProperties>
</file>